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EC6" w:rsidRDefault="00245EC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-1354455</wp:posOffset>
            </wp:positionH>
            <wp:positionV relativeFrom="paragraph">
              <wp:posOffset>-726440</wp:posOffset>
            </wp:positionV>
            <wp:extent cx="8039735" cy="941070"/>
            <wp:effectExtent l="19050" t="0" r="0" b="0"/>
            <wp:wrapNone/>
            <wp:docPr id="1" name="Рисунок 0" descr="Шапка проОБОРУДОВАНИЕ с градиентом исправленны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проОБОРУДОВАНИЕ с градиентом исправленный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3973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014" w:rsidRDefault="00C169CE"/>
    <w:p w:rsidR="00245EC6" w:rsidRPr="00245EC6" w:rsidRDefault="00245EC6" w:rsidP="00245EC6">
      <w:pPr>
        <w:jc w:val="center"/>
        <w:rPr>
          <w:rFonts w:ascii="Times New Roman" w:hAnsi="Times New Roman" w:cs="Times New Roman"/>
          <w:b/>
        </w:rPr>
      </w:pPr>
      <w:r w:rsidRPr="00245EC6">
        <w:rPr>
          <w:rFonts w:ascii="Times New Roman" w:hAnsi="Times New Roman" w:cs="Times New Roman"/>
          <w:b/>
        </w:rPr>
        <w:t>ИНСТРУКЦИЯ</w:t>
      </w:r>
    </w:p>
    <w:p w:rsidR="00245EC6" w:rsidRPr="00245EC6" w:rsidRDefault="00245EC6" w:rsidP="00245EC6">
      <w:pPr>
        <w:jc w:val="center"/>
        <w:rPr>
          <w:rFonts w:ascii="Times New Roman" w:hAnsi="Times New Roman" w:cs="Times New Roman"/>
          <w:b/>
        </w:rPr>
      </w:pPr>
      <w:r w:rsidRPr="00245EC6">
        <w:rPr>
          <w:rFonts w:ascii="Times New Roman" w:hAnsi="Times New Roman" w:cs="Times New Roman"/>
          <w:b/>
        </w:rPr>
        <w:t>ПО СБОРКЕ И МОНТАЖУ</w:t>
      </w:r>
    </w:p>
    <w:p w:rsidR="00245EC6" w:rsidRPr="00245EC6" w:rsidRDefault="00245EC6" w:rsidP="00245EC6">
      <w:pPr>
        <w:jc w:val="center"/>
        <w:rPr>
          <w:rFonts w:ascii="Times New Roman" w:hAnsi="Times New Roman" w:cs="Times New Roman"/>
          <w:b/>
        </w:rPr>
      </w:pPr>
      <w:r w:rsidRPr="00245EC6">
        <w:rPr>
          <w:rFonts w:ascii="Times New Roman" w:hAnsi="Times New Roman" w:cs="Times New Roman"/>
          <w:b/>
        </w:rPr>
        <w:t>СТЕЛЛАЖ МЕТАЛЛИЧЕСКИЙ</w:t>
      </w:r>
    </w:p>
    <w:p w:rsidR="00245EC6" w:rsidRDefault="00245EC6" w:rsidP="00245EC6">
      <w:pPr>
        <w:jc w:val="center"/>
        <w:rPr>
          <w:rFonts w:ascii="Times New Roman" w:hAnsi="Times New Roman" w:cs="Times New Roman"/>
          <w:b/>
        </w:rPr>
      </w:pPr>
      <w:r w:rsidRPr="00245EC6">
        <w:rPr>
          <w:rFonts w:ascii="Times New Roman" w:hAnsi="Times New Roman" w:cs="Times New Roman"/>
          <w:b/>
        </w:rPr>
        <w:t>НАБИВНОЙ (ГЛУБИННЫЙ)</w:t>
      </w:r>
    </w:p>
    <w:p w:rsidR="00245EC6" w:rsidRDefault="00245EC6" w:rsidP="00245EC6">
      <w:pPr>
        <w:jc w:val="center"/>
        <w:rPr>
          <w:rFonts w:ascii="Times New Roman" w:hAnsi="Times New Roman" w:cs="Times New Roman"/>
          <w:b/>
        </w:rPr>
      </w:pPr>
    </w:p>
    <w:p w:rsidR="00245EC6" w:rsidRDefault="00245EC6" w:rsidP="00245EC6">
      <w:pPr>
        <w:jc w:val="center"/>
        <w:rPr>
          <w:rFonts w:ascii="Times New Roman" w:hAnsi="Times New Roman" w:cs="Times New Roman"/>
          <w:b/>
        </w:rPr>
      </w:pPr>
    </w:p>
    <w:p w:rsidR="00245EC6" w:rsidRPr="00245EC6" w:rsidRDefault="00245EC6" w:rsidP="0024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C6">
        <w:rPr>
          <w:rFonts w:ascii="Times New Roman" w:hAnsi="Times New Roman" w:cs="Times New Roman"/>
          <w:b/>
          <w:sz w:val="24"/>
          <w:szCs w:val="24"/>
        </w:rPr>
        <w:t>Внимание! Изделие предназначено для размещения грузов!</w:t>
      </w:r>
    </w:p>
    <w:p w:rsidR="00245EC6" w:rsidRDefault="00245EC6" w:rsidP="0024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C6">
        <w:rPr>
          <w:rFonts w:ascii="Times New Roman" w:hAnsi="Times New Roman" w:cs="Times New Roman"/>
          <w:b/>
          <w:sz w:val="24"/>
          <w:szCs w:val="24"/>
        </w:rPr>
        <w:t>Перед монтажом и эксплуатацией необходимо в обязательном порядке ознакомиться с паспортом и инструкцией по сборке и монтажу.</w:t>
      </w:r>
    </w:p>
    <w:p w:rsidR="00245EC6" w:rsidRDefault="00245EC6" w:rsidP="0024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 Требования по монтажу и эксплуатации набивных (глубинных) стеллажей: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1.1. Полы в складских помещениях должны быть бетонными и соответствовать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EC6">
        <w:rPr>
          <w:rFonts w:ascii="Times New Roman" w:hAnsi="Times New Roman" w:cs="Times New Roman"/>
          <w:sz w:val="24"/>
          <w:szCs w:val="24"/>
        </w:rPr>
        <w:t>нормативных документов: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 xml:space="preserve"> 2.03.13-88 «Полы»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- РЕКОМЕНДАЦИИ по проектированию полов (в развитие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 xml:space="preserve"> 2.03.13-88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«Полы») МДС 31-1.98 (АО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ЦНИИпромзданий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>)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При установке стеллажей полы должны быть ровными и горизонтальными. Допустимый уклон поверхности – не более 2 мм на длине 1000 мм, местные углубления в зоне установки стоек – до 2-х мм. При допустимом уклоне поверхности рекомендуется использовать «Пластины регулировочные под подпятник».</w:t>
      </w:r>
    </w:p>
    <w:p w:rsidR="00245EC6" w:rsidRPr="00C169CE" w:rsidRDefault="00245EC6" w:rsidP="00245EC6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169CE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245EC6" w:rsidRPr="00C169CE" w:rsidRDefault="00245EC6" w:rsidP="00245EC6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169CE">
        <w:rPr>
          <w:rFonts w:ascii="Times New Roman" w:hAnsi="Times New Roman" w:cs="Times New Roman"/>
          <w:b/>
          <w:sz w:val="24"/>
          <w:szCs w:val="24"/>
        </w:rPr>
        <w:t>Изготовитель не несёт ответственности за устойчивость стеллажей, установленных на полах, выполненных с нарушением требований нормативных документов.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Расчетная нагрузка на поддон дается исходя из условия равномерного распределения груза на поддоне стандартных размеров EURO (800х1200 мм) и FIN (1000х1200 мм). Поддоны должны соответствовать требованиям ГОСТ 9078-84 и ГОСТ 9557-87.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Поддон должен обеспечивать равномерно распределенную нагрузку на ложементы и кронштейны секции глубинного стеллажа. Доля площади поддона, занятого грузом, согласно ГОСТ 9557-87 должна составлять от общей площади поддона не менее 85%.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Максимальный прогиб поддона под нагрузкой согласно ГОСТ 9078-74 не должен превышать 1,8% длины поддона. При превышении установленного максимального прогиба происходит смещение центра приложения нагрузки на ложементы и кронштейны стеллажа, что уменьшает грузонесущую способность секции стеллажа на 30-40% от заявленной.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Использование нестандартных поддонов должно согласовываться с Изготовителем при оформлении заказа.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При эксплуатации стеллажа категорически запрещается динамическое воздействие (удары, толчки, резкое опускание паллет с грузом и т.п.) на элементы конструкции стеллажа. Скорость опускания груза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штабелером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 xml:space="preserve"> не должна превышать 100 мм/с.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Последовательность загрузки ярусов должна осуществляться снизу вверх: первым загружается самый нижний ярус секции, последним - самый верхний. При разгрузке секции последовательность обратная: первым разгружается самый верхний ярус, последним – самый нижний. Более тяжелый груз хранить на нижних ярусах.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lastRenderedPageBreak/>
        <w:t>В случае повреждения элементов секции стеллажа эксплуатация данной секции и соседних с ней секций недопустима до замены поврежденного элемента на исправный.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1.2. Закрепление рам стеллажа к полу анкерными болтами является обязательным.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1.3. Необходимо устанавливать защитные ограждения для предотвращения повреждения рам погрузочной техникой.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1.4. В случае повреждения элементов стеллажа погрузочной техникой их необходимо немедленно заменить на новые.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Внимание!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Изготовитель гарантирует безопасную эксплуатацию набивных (глубинных) стеллажей при обязательной установке защитных ограждений для предотвращения повреждения рам погрузочной техникой.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Изготовитель гарантирует безопасную эксплуатацию набивных (глубинных) стеллажей при покупке у Изготовителя всех необходимых элементов набивного (глубинного) стеллажа.</w:t>
      </w:r>
    </w:p>
    <w:p w:rsidR="00245EC6" w:rsidRPr="00C169CE" w:rsidRDefault="00245EC6" w:rsidP="00245EC6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169CE">
        <w:rPr>
          <w:rFonts w:ascii="Times New Roman" w:hAnsi="Times New Roman" w:cs="Times New Roman"/>
          <w:b/>
          <w:sz w:val="24"/>
          <w:szCs w:val="24"/>
        </w:rPr>
        <w:t>Изготовитель не несет ответственности за безопасность эксплуатации стеллажей в случае приобретения отдельных элементов стеллажей и в случае самостоятельного монтажа стеллажей без соблюдения требований, предусмотренных в паспорте и инструкции по сборке и монтажу.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Изготовитель не несёт ответственности за безопасность эксплуатации стеллажей с поврежденными элементами.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1.5. К паспорту на стеллаж металлический набивной (глубинный) прилагается Планировка. Планировка заверяется печатью Изготовителя.</w:t>
      </w:r>
    </w:p>
    <w:p w:rsidR="00245EC6" w:rsidRPr="00C169CE" w:rsidRDefault="00245EC6" w:rsidP="00245EC6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169CE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245EC6" w:rsidRPr="00C169CE" w:rsidRDefault="00245EC6" w:rsidP="00245EC6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169CE">
        <w:rPr>
          <w:rFonts w:ascii="Times New Roman" w:hAnsi="Times New Roman" w:cs="Times New Roman"/>
          <w:b/>
          <w:sz w:val="24"/>
          <w:szCs w:val="24"/>
        </w:rPr>
        <w:t>Изготовитель гарантирует безопасную эксплуатацию набивных (глубинных) стеллажей при выполнении требований по эксплуатации, указанных в паспорте и в Планировке.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1.6. В случае изменения Покупателем характеристик стеллажа (количество ярусов, расстояние между ярусами, заявленный максимальный вес груза на поддоне) необходимо согласовать с Изготовителем производимые изменения. В противном случае Изготовитель не несет ответственности за безопасность эксплуатации стеллажей.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 Сборка рамы: (Схема № 1)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1.1. В нижней части каждой стойки (поз.1) к двум отверстиям с лицевой стороны на расстоянии 25 мм от торца, присоединить подпятник (поз.5) при помощи 2-х болтов М12х20, 2-х гаек М12, 2-х шайб 12 (поз. 43;44;45) а также при помощи болта М8х70 и гайки М8 (поз.7;8). См. схему сборки №1(лист 1). Рис.В и Г.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1.2. Две стойки (поз.1) в сборе с подпятниками соединить между собой связями горизонтальными (поз.2) и связями диагональными (поз.3) при помощи болтов М8х60 (поз.11) (стойка 70) или болтов М8х70 (поз.7) (стойка П90; П110), гаек М8 (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самоконтрящихся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>) (поз.12) согласно комплектации и схемы сборки №1 (лист 1, рис.Б), (лист 2, 3, 4). Внизу и вверху рам на горизонтальных связях (поз.2) установить вкладыши (поз.4) и соединить их со стойками при помощи болтов М8х60 (поз.11) (стойка 70) или болтов М8х70 (поз.7) - (стойка П90, П110), гаек М8 (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самоконтрящихся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 xml:space="preserve">) (поз.12) согласно комплектации и схемы сборки №1 (лист 1, рис.А), (лист 2, 3, 4).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Самоконтрящиеся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 xml:space="preserve"> гайки (поз.12) затянуть усилием Р = 25…30 Н • м.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1.3. Присоединить к стойкам (поз.1) кронштейны ГЛ правые и левые (поз.14,15) и зафиксировать их с помощью соответствующего комплекта крепежа –болта М8 (поз.6), гайки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самоконтрящейся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 xml:space="preserve"> М8 (поз.12) и шайбы 8 (поз.9), согласно комплектации и схемы сборки №4, вид А, сечение В-В.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2. Сборка стволовой секции стеллажа: (Схема № 2).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2.1. Соединить рамы между собой связями горизонтальными (поз.2) и связями диагональными (поз.3) при помощи болтов М8х40, гаек М8 (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самоконтрящихся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>) и шайб 10 увеличенных (поз.22,12,46) согласно комплектации и схемы сборки №2, рис.А.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lastRenderedPageBreak/>
        <w:t>2.2. Для образования стволовой секции сверху соединить рамы ригелями 930 СТГЛ (поз.21) посредством соответствующих зацепов и зафиксировать с помощью комплекта крепежа – болтов М8х20 (поз.6), гаек М8 (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самоконтрящихся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>) (поз.12) и шайб 8 (поз.9), а также двумя фиксаторами (поз.17) рис.Б и рис.В.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2.3. Соединить собранные стволовые секции между собой ригелями 1000 ГЛ (поз.28) при помощи болта М8х20, гайки М8, шайбы 8 (поз.6;8;9) – 4 места крепления на каждый ригель на глубину всех стеллажей согласно комплектации и схемы сборки №5, сечение Г-Г.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2.4. Сверху соединить собранные стволовые секции раскосами 1260 СТГЛ (поз.23) при помощи 2-х болтов М12х25, 2-х гаек М12, 2-х шайб 12 (поз.24;25;26) на каждый раскос. См. схему сборки №2, рис.В и схему сборки №7.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3. Сборка стеллажного комплекса: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3.1. Справа и слева к стволовой секции присоединить собранные ранее рамы используя ригель 1380 ГЛ верхний (поз.15). В случае отсутствия стволовой секции рамы стеллажа соединяются непосредственно друг с другом с использованием Ригеля 1380 ГЛ верхнего (поз.15). Ригель присоединить к раме посредством зацепов и зафиксировать на ней с помощью комплекта крепежа – болтов М8х20 (поз.6), гаек М8 (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самоконтрящихся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>) (поз.12) и шайб 8 (поз.9)- 4 места крепления, а также двумя фиксаторами (поз.17). См. схему сборки №4, сечение Б-Б.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3.2. В глубину эти рамы соединить ригелями 1000 ГЛ (поз.28) при помощи болта М8х20, гайки М8, шайбы 8 (поз.6;8;9) – 4 места крепления на каждый ригель. Количество ригелей зависит от высоты рам согласно комплектации. См. схему сборки №5, сечение Г-Г.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3.3. На кронштейн ГЛ (поз.14,15), находящийся на передних стойках, установить ложемент 1140 ГЛ (поз.31), предварительно вставив между ними уголок ГЛ для ложемента (поз.33) . Соединить данные элементы при помощи болта М8х20, гайки М8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самоконтрящейся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 xml:space="preserve">, шайбы 8 (поз.6;12;9) - 2 места крепления). Закрепить ложемент на кронштейнах при помощи уголка-опоры ГЛ для ложемента(поз.19), который помещается между ложементом и кронштейном. Соединить данные элементы при помощи болта М8х20, гайки М8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самоконтрящейся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>, шайбы 8 (поз.6;12;9) - 2 места крепления. См. схему сборки №5, вид А,Б.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3.4. На кронштейны ГЛ (поз.14,15), находящихся на последующих стойках установить ложемент 2100 ГЛ (поз.32). Закрепить ложемент на кронштейнах при помощи уголка-опоры ГЛ для ложемента(поз.19), который помещается между ложементом и кронштейном. Соединить данные элементы при помощи болта М8х20, гайки М8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самоконтрящейся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>, шайбы 8 (поз.6;12;9) - 2 места крепления. Аналогичным способом соединить в глубину все ложементы 2100 ГЛ (поз.32) с кронштейнами ГЛ (поз.14,15). См. схему сборки №5, вид Б.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3.5. Закрепить последний ложемент 2100 ГЛ на последнем кронштейне ГЛ (поз.14,15) при помощи упора ГЛ заднего (поз.39), который помещается между ложементом и кронштейном. Соединить данные элементы при помощи болта М8х20, гайки М8 </w:t>
      </w:r>
      <w:proofErr w:type="spellStart"/>
      <w:r w:rsidRPr="00245EC6">
        <w:rPr>
          <w:rFonts w:ascii="Times New Roman" w:hAnsi="Times New Roman" w:cs="Times New Roman"/>
          <w:sz w:val="24"/>
          <w:szCs w:val="24"/>
        </w:rPr>
        <w:t>самоконтрящейся</w:t>
      </w:r>
      <w:proofErr w:type="spellEnd"/>
      <w:r w:rsidRPr="00245EC6">
        <w:rPr>
          <w:rFonts w:ascii="Times New Roman" w:hAnsi="Times New Roman" w:cs="Times New Roman"/>
          <w:sz w:val="24"/>
          <w:szCs w:val="24"/>
        </w:rPr>
        <w:t>, шайбы 8 (поз.6;12;9) - 2 места крепления. См. схему сборки №5, вид В.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3.6. Установить на всех кронштейнах ГЛ (поз.14,15) фиксаторы (поз.17) См. схему сборки №5.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3.7. После сборки стеллажей и установки их согласно планировке, рамы с подпятниками крепятся к полу анкерными болтами М10х100 (поз.10). При необходимости под подпятники стоек устанавливают пластины регулировочные (поз.13). См. схему сборки №1, рис. В.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 xml:space="preserve">3.8. Согласно планировке на стойки установить угловые защитные ограждения стойки (поз.34) и защитное ограждение стойки (поз.36), закрепить к полу каждое </w:t>
      </w:r>
      <w:r w:rsidRPr="00245EC6">
        <w:rPr>
          <w:rFonts w:ascii="Times New Roman" w:hAnsi="Times New Roman" w:cs="Times New Roman"/>
          <w:sz w:val="24"/>
          <w:szCs w:val="24"/>
        </w:rPr>
        <w:lastRenderedPageBreak/>
        <w:t>ограждение 4-мя анкерными болтами М12х100 (поз.35). См. схему сборки №3, рис. А и рис. Б; схему №4 и №6.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3.9. Установить между защитными ограждениями стоек защиту 1000 ГЛ (поз.37) при помощи 2-х анкерных болтов М12х100 (поз.35) и защиту 2100 ГЛ (поз.38) при помощи 3-х анкерных болтов М12х100 (поз.35). См. схему №3, рис. А и рис. Б; схему сборки №6, рис. А.</w:t>
      </w:r>
    </w:p>
    <w:p w:rsidR="00245EC6" w:rsidRPr="00245EC6" w:rsidRDefault="00245EC6" w:rsidP="00245EC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3.10. Стянуть верх образовавшихся секций раскосами 1594 ГЛ (поз.27) при помощи 2-х болтов М12х25, 2-х гаек М12 и 2-х шайб 12 (поз.24;25;26) на каждый раскос. См. схему №7.</w:t>
      </w:r>
    </w:p>
    <w:p w:rsidR="00245EC6" w:rsidRDefault="00245EC6" w:rsidP="00245EC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45EC6">
        <w:rPr>
          <w:rFonts w:ascii="Times New Roman" w:hAnsi="Times New Roman" w:cs="Times New Roman"/>
          <w:sz w:val="24"/>
          <w:szCs w:val="24"/>
        </w:rPr>
        <w:t>Регистр. №12-1</w:t>
      </w:r>
    </w:p>
    <w:p w:rsidR="00245EC6" w:rsidRDefault="00245EC6" w:rsidP="00245EC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5EC6" w:rsidRP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C6">
        <w:rPr>
          <w:rFonts w:ascii="Times New Roman" w:hAnsi="Times New Roman" w:cs="Times New Roman"/>
          <w:b/>
          <w:sz w:val="24"/>
          <w:szCs w:val="24"/>
        </w:rPr>
        <w:t>Схема сборки № 1 (лист 1)</w:t>
      </w: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C6">
        <w:rPr>
          <w:rFonts w:ascii="Times New Roman" w:hAnsi="Times New Roman" w:cs="Times New Roman"/>
          <w:b/>
          <w:sz w:val="24"/>
          <w:szCs w:val="24"/>
        </w:rPr>
        <w:t>сборка рам набивных (глубинных) стеллажей</w:t>
      </w: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Н=4500</w:t>
      </w: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62865</wp:posOffset>
            </wp:positionV>
            <wp:extent cx="5944870" cy="4665345"/>
            <wp:effectExtent l="19050" t="0" r="0" b="1905"/>
            <wp:wrapNone/>
            <wp:docPr id="2" name="Рисунок 1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C6" w:rsidRDefault="00245EC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Pr="004668AE" w:rsidRDefault="004668AE" w:rsidP="004668AE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8AE">
        <w:rPr>
          <w:rFonts w:ascii="Times New Roman" w:hAnsi="Times New Roman" w:cs="Times New Roman"/>
          <w:b/>
          <w:sz w:val="24"/>
          <w:szCs w:val="24"/>
        </w:rPr>
        <w:t>Схема сборки № 1(лист2)</w:t>
      </w:r>
    </w:p>
    <w:p w:rsidR="004668AE" w:rsidRDefault="004668AE" w:rsidP="004668AE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8AE">
        <w:rPr>
          <w:rFonts w:ascii="Times New Roman" w:hAnsi="Times New Roman" w:cs="Times New Roman"/>
          <w:b/>
          <w:sz w:val="24"/>
          <w:szCs w:val="24"/>
        </w:rPr>
        <w:t>сборка рам набивных (глубинных) стеллажей</w:t>
      </w: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4668AE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-2807335</wp:posOffset>
            </wp:positionH>
            <wp:positionV relativeFrom="paragraph">
              <wp:posOffset>105410</wp:posOffset>
            </wp:positionV>
            <wp:extent cx="11416030" cy="6408420"/>
            <wp:effectExtent l="0" t="2495550" r="0" b="2487930"/>
            <wp:wrapNone/>
            <wp:docPr id="3" name="Рисунок 2" descr="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1603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P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5A6">
        <w:rPr>
          <w:rFonts w:ascii="Times New Roman" w:hAnsi="Times New Roman" w:cs="Times New Roman"/>
          <w:b/>
          <w:sz w:val="24"/>
          <w:szCs w:val="24"/>
        </w:rPr>
        <w:t>Схема сборки №2</w:t>
      </w:r>
    </w:p>
    <w:p w:rsidR="004668AE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5A6">
        <w:rPr>
          <w:rFonts w:ascii="Times New Roman" w:hAnsi="Times New Roman" w:cs="Times New Roman"/>
          <w:b/>
          <w:sz w:val="24"/>
          <w:szCs w:val="24"/>
        </w:rPr>
        <w:t>сборка связей стволовой секции (глубинного) стеллажа</w:t>
      </w: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546735</wp:posOffset>
            </wp:positionV>
            <wp:extent cx="6200775" cy="4686300"/>
            <wp:effectExtent l="19050" t="0" r="9525" b="0"/>
            <wp:wrapSquare wrapText="bothSides"/>
            <wp:docPr id="5" name="Рисунок 4" descr="Без имени-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м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6655A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5937885</wp:posOffset>
            </wp:positionV>
            <wp:extent cx="5234940" cy="3543300"/>
            <wp:effectExtent l="19050" t="0" r="3810" b="0"/>
            <wp:wrapSquare wrapText="bothSides"/>
            <wp:docPr id="6" name="Рисунок 5" descr="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5A6" w:rsidRP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5A6">
        <w:rPr>
          <w:rFonts w:ascii="Times New Roman" w:hAnsi="Times New Roman" w:cs="Times New Roman"/>
          <w:b/>
          <w:sz w:val="24"/>
          <w:szCs w:val="24"/>
        </w:rPr>
        <w:t>Схема сборки №3</w:t>
      </w:r>
    </w:p>
    <w:p w:rsidR="004668AE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5A6">
        <w:rPr>
          <w:rFonts w:ascii="Times New Roman" w:hAnsi="Times New Roman" w:cs="Times New Roman"/>
          <w:b/>
          <w:sz w:val="24"/>
          <w:szCs w:val="24"/>
        </w:rPr>
        <w:t>набивные (глубинные) стеллажи</w:t>
      </w: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P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5A6">
        <w:rPr>
          <w:rFonts w:ascii="Times New Roman" w:hAnsi="Times New Roman" w:cs="Times New Roman"/>
          <w:b/>
          <w:sz w:val="24"/>
          <w:szCs w:val="24"/>
        </w:rPr>
        <w:t>Схема сборки №4</w:t>
      </w: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393700</wp:posOffset>
            </wp:positionV>
            <wp:extent cx="7010400" cy="5008880"/>
            <wp:effectExtent l="19050" t="0" r="0" b="0"/>
            <wp:wrapSquare wrapText="bothSides"/>
            <wp:docPr id="7" name="Рисунок 6" descr="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55A6">
        <w:rPr>
          <w:rFonts w:ascii="Times New Roman" w:hAnsi="Times New Roman" w:cs="Times New Roman"/>
          <w:b/>
          <w:sz w:val="24"/>
          <w:szCs w:val="24"/>
        </w:rPr>
        <w:t>набивные (глубинные) стеллажи</w:t>
      </w:r>
    </w:p>
    <w:p w:rsidR="00BE24AA" w:rsidRDefault="00BE24AA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P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A">
        <w:rPr>
          <w:rFonts w:ascii="Times New Roman" w:hAnsi="Times New Roman" w:cs="Times New Roman"/>
          <w:b/>
          <w:sz w:val="24"/>
          <w:szCs w:val="24"/>
        </w:rPr>
        <w:t>Схема сборки №5</w:t>
      </w:r>
    </w:p>
    <w:p w:rsidR="006655A6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A">
        <w:rPr>
          <w:rFonts w:ascii="Times New Roman" w:hAnsi="Times New Roman" w:cs="Times New Roman"/>
          <w:b/>
          <w:sz w:val="24"/>
          <w:szCs w:val="24"/>
        </w:rPr>
        <w:t>набивные(глубинные) стеллажи</w:t>
      </w: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BE24AA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6299835</wp:posOffset>
            </wp:positionV>
            <wp:extent cx="5048250" cy="3419475"/>
            <wp:effectExtent l="19050" t="0" r="0" b="0"/>
            <wp:wrapSquare wrapText="bothSides"/>
            <wp:docPr id="8" name="Рисунок 7" descr="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665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AE" w:rsidRDefault="004668AE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A6" w:rsidRDefault="006655A6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245E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P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A">
        <w:rPr>
          <w:rFonts w:ascii="Times New Roman" w:hAnsi="Times New Roman" w:cs="Times New Roman"/>
          <w:b/>
          <w:sz w:val="24"/>
          <w:szCs w:val="24"/>
        </w:rPr>
        <w:t>Схема сборки №6</w:t>
      </w:r>
    </w:p>
    <w:p w:rsidR="00BE24AA" w:rsidRP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A">
        <w:rPr>
          <w:rFonts w:ascii="Times New Roman" w:hAnsi="Times New Roman" w:cs="Times New Roman"/>
          <w:b/>
          <w:sz w:val="24"/>
          <w:szCs w:val="24"/>
        </w:rPr>
        <w:t>набивные (глубинные) стеллажи</w:t>
      </w:r>
    </w:p>
    <w:p w:rsidR="00BE24AA" w:rsidRP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A">
        <w:rPr>
          <w:rFonts w:ascii="Times New Roman" w:hAnsi="Times New Roman" w:cs="Times New Roman"/>
          <w:b/>
          <w:sz w:val="24"/>
          <w:szCs w:val="24"/>
        </w:rPr>
        <w:t>Кронштейны ГЛ левый и правый (поз.14,15), ригель 1000 ГЛ (поз.28),</w:t>
      </w:r>
    </w:p>
    <w:p w:rsidR="006655A6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A">
        <w:rPr>
          <w:rFonts w:ascii="Times New Roman" w:hAnsi="Times New Roman" w:cs="Times New Roman"/>
          <w:b/>
          <w:sz w:val="24"/>
          <w:szCs w:val="24"/>
        </w:rPr>
        <w:t>ложемент 1106 ГЛ и ложемент 2100 ГЛ (поз.31,32 ) условно не показаны</w:t>
      </w: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-840740</wp:posOffset>
            </wp:positionH>
            <wp:positionV relativeFrom="margin">
              <wp:posOffset>1234440</wp:posOffset>
            </wp:positionV>
            <wp:extent cx="6759575" cy="4351020"/>
            <wp:effectExtent l="19050" t="0" r="3175" b="0"/>
            <wp:wrapSquare wrapText="bothSides"/>
            <wp:docPr id="9" name="Рисунок 8" descr="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oftHyphen/>
      </w:r>
    </w:p>
    <w:p w:rsidR="00BE24AA" w:rsidRP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A">
        <w:rPr>
          <w:rFonts w:ascii="Times New Roman" w:hAnsi="Times New Roman" w:cs="Times New Roman"/>
          <w:b/>
          <w:sz w:val="24"/>
          <w:szCs w:val="24"/>
        </w:rPr>
        <w:t>Схема сборки №7</w:t>
      </w: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A">
        <w:rPr>
          <w:rFonts w:ascii="Times New Roman" w:hAnsi="Times New Roman" w:cs="Times New Roman"/>
          <w:b/>
          <w:sz w:val="24"/>
          <w:szCs w:val="24"/>
        </w:rPr>
        <w:t>набивные (глубинные) стеллажи</w:t>
      </w: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9CE" w:rsidRDefault="00C169CE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4AA" w:rsidRPr="00BE24AA" w:rsidRDefault="00BE24AA" w:rsidP="00BE24AA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1391920</wp:posOffset>
            </wp:positionV>
            <wp:extent cx="4953000" cy="3499485"/>
            <wp:effectExtent l="19050" t="0" r="0" b="0"/>
            <wp:wrapSquare wrapText="bothSides"/>
            <wp:docPr id="10" name="Рисунок 9" descr="Без 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24AA" w:rsidRPr="00BE24AA" w:rsidSect="0012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245EC6"/>
    <w:rsid w:val="0012307F"/>
    <w:rsid w:val="00245EC6"/>
    <w:rsid w:val="004668AE"/>
    <w:rsid w:val="006655A6"/>
    <w:rsid w:val="006C2378"/>
    <w:rsid w:val="008D5BFA"/>
    <w:rsid w:val="00992D55"/>
    <w:rsid w:val="00A45A49"/>
    <w:rsid w:val="00BE24AA"/>
    <w:rsid w:val="00C169CE"/>
    <w:rsid w:val="00C90DCF"/>
    <w:rsid w:val="00E7533D"/>
    <w:rsid w:val="00E84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E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2013-03-26T09:15:00Z</dcterms:created>
  <dcterms:modified xsi:type="dcterms:W3CDTF">2013-03-26T10:01:00Z</dcterms:modified>
</cp:coreProperties>
</file>